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F6DCC" w14:textId="77777777" w:rsidR="00295575" w:rsidRDefault="00295575" w:rsidP="00295575">
      <w:pPr>
        <w:spacing w:after="0" w:line="240" w:lineRule="auto"/>
        <w:jc w:val="center"/>
      </w:pPr>
      <w:r>
        <w:rPr>
          <w:noProof/>
        </w:rPr>
        <w:drawing>
          <wp:anchor distT="0" distB="0" distL="114300" distR="114300" simplePos="0" relativeHeight="251659264" behindDoc="1" locked="0" layoutInCell="1" allowOverlap="1" wp14:anchorId="68A8B26B" wp14:editId="2AD1A85C">
            <wp:simplePos x="0" y="0"/>
            <wp:positionH relativeFrom="column">
              <wp:posOffset>37465</wp:posOffset>
            </wp:positionH>
            <wp:positionV relativeFrom="paragraph">
              <wp:posOffset>0</wp:posOffset>
            </wp:positionV>
            <wp:extent cx="719455" cy="781050"/>
            <wp:effectExtent l="0" t="0" r="4445" b="0"/>
            <wp:wrapTight wrapText="bothSides">
              <wp:wrapPolygon edited="0">
                <wp:start x="0" y="0"/>
                <wp:lineTo x="0" y="21073"/>
                <wp:lineTo x="21162" y="21073"/>
                <wp:lineTo x="21162"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19455" cy="78105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4834A411" wp14:editId="2687076E">
            <wp:simplePos x="0" y="0"/>
            <wp:positionH relativeFrom="column">
              <wp:posOffset>4253865</wp:posOffset>
            </wp:positionH>
            <wp:positionV relativeFrom="paragraph">
              <wp:posOffset>0</wp:posOffset>
            </wp:positionV>
            <wp:extent cx="1485900" cy="742950"/>
            <wp:effectExtent l="0" t="0" r="0" b="0"/>
            <wp:wrapTight wrapText="bothSides">
              <wp:wrapPolygon edited="0">
                <wp:start x="0" y="0"/>
                <wp:lineTo x="0" y="21046"/>
                <wp:lineTo x="21323" y="21046"/>
                <wp:lineTo x="21323"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85900" cy="742950"/>
                    </a:xfrm>
                    <a:prstGeom prst="rect">
                      <a:avLst/>
                    </a:prstGeom>
                    <a:noFill/>
                  </pic:spPr>
                </pic:pic>
              </a:graphicData>
            </a:graphic>
          </wp:anchor>
        </w:drawing>
      </w:r>
      <w:r>
        <w:t>SECRETARÍA DE EDUCACIÓN DISTRITAL</w:t>
      </w:r>
    </w:p>
    <w:p w14:paraId="38A3FEE1" w14:textId="77777777" w:rsidR="00295575" w:rsidRDefault="00295575" w:rsidP="00295575">
      <w:pPr>
        <w:spacing w:after="0" w:line="240" w:lineRule="auto"/>
        <w:jc w:val="center"/>
      </w:pPr>
      <w:r>
        <w:t>Colegio Nacional Nicolás Esguerra IED PEI:</w:t>
      </w:r>
    </w:p>
    <w:p w14:paraId="0675DA6E" w14:textId="77777777" w:rsidR="00295575" w:rsidRDefault="00295575" w:rsidP="00295575">
      <w:pPr>
        <w:spacing w:after="0" w:line="240" w:lineRule="auto"/>
        <w:jc w:val="center"/>
      </w:pPr>
      <w:r>
        <w:t>EDIFICANDO FUTURO RESOLUCIÓN</w:t>
      </w:r>
    </w:p>
    <w:p w14:paraId="3C2C7C18" w14:textId="77777777" w:rsidR="00295575" w:rsidRDefault="00295575" w:rsidP="00295575">
      <w:pPr>
        <w:spacing w:after="0" w:line="240" w:lineRule="auto"/>
        <w:jc w:val="center"/>
      </w:pPr>
      <w:r>
        <w:t xml:space="preserve">2562 DEL 28 DE AGOSTO DE 2002 </w:t>
      </w:r>
    </w:p>
    <w:p w14:paraId="72495585" w14:textId="2D0AFA29" w:rsidR="00295575" w:rsidRDefault="00295575" w:rsidP="00295575">
      <w:pPr>
        <w:spacing w:after="0" w:line="240" w:lineRule="auto"/>
      </w:pPr>
      <w:r>
        <w:t xml:space="preserve">             </w:t>
      </w:r>
      <w:r>
        <w:t xml:space="preserve">NIT: </w:t>
      </w:r>
      <w:proofErr w:type="gramStart"/>
      <w:r>
        <w:t>899.999.139  DANE</w:t>
      </w:r>
      <w:proofErr w:type="gramEnd"/>
      <w:r>
        <w:t>: 11100101091</w:t>
      </w:r>
    </w:p>
    <w:p w14:paraId="0262CBED" w14:textId="79D8F413" w:rsidR="00295575" w:rsidRDefault="00295575" w:rsidP="00295575">
      <w:pPr>
        <w:spacing w:after="0" w:line="240" w:lineRule="auto"/>
        <w:jc w:val="center"/>
      </w:pPr>
      <w:r>
        <w:t xml:space="preserve">TALLER DE RECUPERACION </w:t>
      </w:r>
      <w:r>
        <w:t xml:space="preserve">1 </w:t>
      </w:r>
      <w:r>
        <w:t>PERIODO É</w:t>
      </w:r>
      <w:r>
        <w:t>TICA</w:t>
      </w:r>
    </w:p>
    <w:p w14:paraId="4DDEE1B2" w14:textId="75B85BD1" w:rsidR="00295575" w:rsidRPr="00295575" w:rsidRDefault="00295575" w:rsidP="00295575">
      <w:pPr>
        <w:pBdr>
          <w:bottom w:val="single" w:sz="12" w:space="1" w:color="auto"/>
        </w:pBdr>
        <w:spacing w:after="0" w:line="240" w:lineRule="auto"/>
      </w:pPr>
      <w:r>
        <w:t xml:space="preserve">                                           </w:t>
      </w:r>
      <w:r>
        <w:t>DOCENTE: FRANCIA ELENA LOZANO</w:t>
      </w:r>
      <w:r>
        <w:t xml:space="preserve"> M</w:t>
      </w:r>
    </w:p>
    <w:p w14:paraId="63CF30CE" w14:textId="77777777" w:rsidR="00295575" w:rsidRPr="00295575" w:rsidRDefault="00295575" w:rsidP="00295575">
      <w:pPr>
        <w:spacing w:line="240" w:lineRule="auto"/>
        <w:jc w:val="both"/>
        <w:rPr>
          <w:rFonts w:ascii="Arial" w:hAnsi="Arial" w:cs="Arial"/>
          <w:sz w:val="20"/>
          <w:szCs w:val="20"/>
        </w:rPr>
      </w:pPr>
    </w:p>
    <w:p w14:paraId="3322CFA4" w14:textId="7A853856" w:rsidR="00DB7AEE" w:rsidRPr="00DB7AEE" w:rsidRDefault="00DB7AEE" w:rsidP="00295575">
      <w:pPr>
        <w:spacing w:line="240" w:lineRule="auto"/>
        <w:jc w:val="both"/>
        <w:rPr>
          <w:rFonts w:ascii="Arial" w:hAnsi="Arial" w:cs="Arial"/>
          <w:sz w:val="20"/>
          <w:szCs w:val="20"/>
        </w:rPr>
      </w:pPr>
      <w:r w:rsidRPr="00DB7AEE">
        <w:rPr>
          <w:rFonts w:ascii="Arial" w:hAnsi="Arial" w:cs="Arial"/>
          <w:sz w:val="20"/>
          <w:szCs w:val="20"/>
        </w:rPr>
        <w:t xml:space="preserve">Basado en el artículo de </w:t>
      </w:r>
      <w:r w:rsidRPr="00DB7AEE">
        <w:rPr>
          <w:rFonts w:ascii="Arial" w:hAnsi="Arial" w:cs="Arial"/>
          <w:b/>
          <w:bCs/>
          <w:sz w:val="20"/>
          <w:szCs w:val="20"/>
        </w:rPr>
        <w:t>Parra Abarca et al. (2025)</w:t>
      </w:r>
      <w:r w:rsidRPr="00DB7AEE">
        <w:rPr>
          <w:rFonts w:ascii="Arial" w:hAnsi="Arial" w:cs="Arial"/>
          <w:sz w:val="20"/>
          <w:szCs w:val="20"/>
        </w:rPr>
        <w:t xml:space="preserve">, </w:t>
      </w:r>
    </w:p>
    <w:p w14:paraId="5984A2D0" w14:textId="77777777" w:rsidR="00DB7AEE" w:rsidRPr="00DB7AEE" w:rsidRDefault="00DB7AEE" w:rsidP="00295575">
      <w:pPr>
        <w:spacing w:line="240" w:lineRule="auto"/>
        <w:jc w:val="both"/>
        <w:rPr>
          <w:rFonts w:ascii="Arial" w:hAnsi="Arial" w:cs="Arial"/>
          <w:b/>
          <w:bCs/>
          <w:sz w:val="20"/>
          <w:szCs w:val="20"/>
        </w:rPr>
      </w:pPr>
      <w:r w:rsidRPr="00DB7AEE">
        <w:rPr>
          <w:rFonts w:ascii="Arial" w:hAnsi="Arial" w:cs="Arial"/>
          <w:b/>
          <w:bCs/>
          <w:sz w:val="20"/>
          <w:szCs w:val="20"/>
        </w:rPr>
        <w:t>Resumen Analítico: Neurociencia y Ética de la Decisión</w:t>
      </w:r>
    </w:p>
    <w:p w14:paraId="5066F667" w14:textId="68416972" w:rsidR="00DB7AEE" w:rsidRPr="00DB7AEE" w:rsidRDefault="00DB7AEE" w:rsidP="00295575">
      <w:pPr>
        <w:spacing w:line="240" w:lineRule="auto"/>
        <w:jc w:val="both"/>
        <w:rPr>
          <w:rFonts w:ascii="Arial" w:hAnsi="Arial" w:cs="Arial"/>
          <w:b/>
          <w:bCs/>
          <w:sz w:val="20"/>
          <w:szCs w:val="20"/>
        </w:rPr>
      </w:pPr>
      <w:r w:rsidRPr="00DB7AEE">
        <w:rPr>
          <w:rFonts w:ascii="Arial" w:hAnsi="Arial" w:cs="Arial"/>
          <w:b/>
          <w:bCs/>
          <w:sz w:val="20"/>
          <w:szCs w:val="20"/>
        </w:rPr>
        <w:t>1. La Corteza Prefrontal (CPF): El "</w:t>
      </w:r>
      <w:r w:rsidR="00295575" w:rsidRPr="00DB7AEE">
        <w:rPr>
          <w:rFonts w:ascii="Arial" w:hAnsi="Arial" w:cs="Arial"/>
          <w:b/>
          <w:bCs/>
          <w:sz w:val="20"/>
          <w:szCs w:val="20"/>
        </w:rPr>
        <w:t>director</w:t>
      </w:r>
      <w:r w:rsidRPr="00DB7AEE">
        <w:rPr>
          <w:rFonts w:ascii="Arial" w:hAnsi="Arial" w:cs="Arial"/>
          <w:b/>
          <w:bCs/>
          <w:sz w:val="20"/>
          <w:szCs w:val="20"/>
        </w:rPr>
        <w:t xml:space="preserve"> de Orquesta"</w:t>
      </w:r>
    </w:p>
    <w:p w14:paraId="58D2FC2D" w14:textId="51387B58" w:rsidR="00DB7AEE" w:rsidRPr="00DB7AEE" w:rsidRDefault="00DB7AEE" w:rsidP="00295575">
      <w:pPr>
        <w:spacing w:line="240" w:lineRule="auto"/>
        <w:jc w:val="both"/>
        <w:rPr>
          <w:rFonts w:ascii="Arial" w:hAnsi="Arial" w:cs="Arial"/>
          <w:sz w:val="20"/>
          <w:szCs w:val="20"/>
        </w:rPr>
      </w:pPr>
      <w:r w:rsidRPr="00DB7AEE">
        <w:rPr>
          <w:rFonts w:ascii="Arial" w:hAnsi="Arial" w:cs="Arial"/>
          <w:sz w:val="20"/>
          <w:szCs w:val="20"/>
        </w:rPr>
        <w:t xml:space="preserve">La toma de decisiones es un proceso orquestado principalmente por la </w:t>
      </w:r>
      <w:r w:rsidRPr="00DB7AEE">
        <w:rPr>
          <w:rFonts w:ascii="Arial" w:hAnsi="Arial" w:cs="Arial"/>
          <w:b/>
          <w:bCs/>
          <w:sz w:val="20"/>
          <w:szCs w:val="20"/>
        </w:rPr>
        <w:t>Corteza Prefrontal (CPF)</w:t>
      </w:r>
      <w:r w:rsidRPr="00DB7AEE">
        <w:rPr>
          <w:rFonts w:ascii="Arial" w:hAnsi="Arial" w:cs="Arial"/>
          <w:sz w:val="20"/>
          <w:szCs w:val="20"/>
        </w:rPr>
        <w:t>, región responsable de las funciones ejecutivas: planificación, razonamiento, inhibición de impulsos y control cognitivo. Su papel es crucial para evaluar las consecuencias a largo plazo y resistir tentaciones inmediatas. Se identifican subregiones con funciones éticas y prácticas específicas</w:t>
      </w:r>
      <w:r w:rsidRPr="00295575">
        <w:rPr>
          <w:rFonts w:ascii="Arial" w:hAnsi="Arial" w:cs="Arial"/>
          <w:sz w:val="20"/>
          <w:szCs w:val="20"/>
        </w:rPr>
        <w:t>.</w:t>
      </w:r>
    </w:p>
    <w:p w14:paraId="63756911" w14:textId="5B0EA6F8" w:rsidR="00DB7AEE" w:rsidRPr="00DB7AEE" w:rsidRDefault="00DB7AEE" w:rsidP="00295575">
      <w:pPr>
        <w:numPr>
          <w:ilvl w:val="0"/>
          <w:numId w:val="7"/>
        </w:numPr>
        <w:spacing w:line="240" w:lineRule="auto"/>
        <w:jc w:val="both"/>
        <w:rPr>
          <w:rFonts w:ascii="Arial" w:hAnsi="Arial" w:cs="Arial"/>
          <w:sz w:val="20"/>
          <w:szCs w:val="20"/>
        </w:rPr>
      </w:pPr>
      <w:r w:rsidRPr="00DB7AEE">
        <w:rPr>
          <w:rFonts w:ascii="Arial" w:hAnsi="Arial" w:cs="Arial"/>
          <w:b/>
          <w:bCs/>
          <w:sz w:val="20"/>
          <w:szCs w:val="20"/>
        </w:rPr>
        <w:t>CPF Dorsolateral (CPFDL):</w:t>
      </w:r>
      <w:r w:rsidRPr="00DB7AEE">
        <w:rPr>
          <w:rFonts w:ascii="Arial" w:hAnsi="Arial" w:cs="Arial"/>
          <w:sz w:val="20"/>
          <w:szCs w:val="20"/>
        </w:rPr>
        <w:t xml:space="preserve"> Fundamental para la memoria de trabajo y la planificación estratégica.</w:t>
      </w:r>
    </w:p>
    <w:p w14:paraId="59C7F8B9" w14:textId="36D76680" w:rsidR="00DB7AEE" w:rsidRPr="00DB7AEE" w:rsidRDefault="00DB7AEE" w:rsidP="00295575">
      <w:pPr>
        <w:numPr>
          <w:ilvl w:val="0"/>
          <w:numId w:val="7"/>
        </w:numPr>
        <w:spacing w:line="240" w:lineRule="auto"/>
        <w:jc w:val="both"/>
        <w:rPr>
          <w:rFonts w:ascii="Arial" w:hAnsi="Arial" w:cs="Arial"/>
          <w:sz w:val="20"/>
          <w:szCs w:val="20"/>
        </w:rPr>
      </w:pPr>
      <w:r w:rsidRPr="00DB7AEE">
        <w:rPr>
          <w:rFonts w:ascii="Arial" w:hAnsi="Arial" w:cs="Arial"/>
          <w:b/>
          <w:bCs/>
          <w:sz w:val="20"/>
          <w:szCs w:val="20"/>
        </w:rPr>
        <w:t xml:space="preserve">CPF </w:t>
      </w:r>
      <w:proofErr w:type="spellStart"/>
      <w:r w:rsidRPr="00DB7AEE">
        <w:rPr>
          <w:rFonts w:ascii="Arial" w:hAnsi="Arial" w:cs="Arial"/>
          <w:b/>
          <w:bCs/>
          <w:sz w:val="20"/>
          <w:szCs w:val="20"/>
        </w:rPr>
        <w:t>Ventromedial</w:t>
      </w:r>
      <w:proofErr w:type="spellEnd"/>
      <w:r w:rsidRPr="00DB7AEE">
        <w:rPr>
          <w:rFonts w:ascii="Arial" w:hAnsi="Arial" w:cs="Arial"/>
          <w:b/>
          <w:bCs/>
          <w:sz w:val="20"/>
          <w:szCs w:val="20"/>
        </w:rPr>
        <w:t xml:space="preserve"> (CPFVM):</w:t>
      </w:r>
      <w:r w:rsidRPr="00DB7AEE">
        <w:rPr>
          <w:rFonts w:ascii="Arial" w:hAnsi="Arial" w:cs="Arial"/>
          <w:sz w:val="20"/>
          <w:szCs w:val="20"/>
        </w:rPr>
        <w:t xml:space="preserve"> Integra señales emocionales para valorar riesgos y normas sociales.</w:t>
      </w:r>
    </w:p>
    <w:p w14:paraId="2672C023" w14:textId="3A73EE4E" w:rsidR="00DB7AEE" w:rsidRPr="00DB7AEE" w:rsidRDefault="00DB7AEE" w:rsidP="00295575">
      <w:pPr>
        <w:numPr>
          <w:ilvl w:val="0"/>
          <w:numId w:val="7"/>
        </w:numPr>
        <w:spacing w:line="240" w:lineRule="auto"/>
        <w:jc w:val="both"/>
        <w:rPr>
          <w:rFonts w:ascii="Arial" w:hAnsi="Arial" w:cs="Arial"/>
          <w:sz w:val="20"/>
          <w:szCs w:val="20"/>
        </w:rPr>
      </w:pPr>
      <w:r w:rsidRPr="00DB7AEE">
        <w:rPr>
          <w:rFonts w:ascii="Arial" w:hAnsi="Arial" w:cs="Arial"/>
          <w:b/>
          <w:bCs/>
          <w:sz w:val="20"/>
          <w:szCs w:val="20"/>
        </w:rPr>
        <w:t>Corteza Cingulada Anterior (CCA):</w:t>
      </w:r>
      <w:r w:rsidRPr="00DB7AEE">
        <w:rPr>
          <w:rFonts w:ascii="Arial" w:hAnsi="Arial" w:cs="Arial"/>
          <w:sz w:val="20"/>
          <w:szCs w:val="20"/>
        </w:rPr>
        <w:t xml:space="preserve"> Monitoriza conflictos y evalúa si el esfuerzo de una acción vale la recompensa</w:t>
      </w:r>
      <w:r w:rsidRPr="00295575">
        <w:rPr>
          <w:rFonts w:ascii="Arial" w:hAnsi="Arial" w:cs="Arial"/>
          <w:sz w:val="20"/>
          <w:szCs w:val="20"/>
        </w:rPr>
        <w:t>.</w:t>
      </w:r>
    </w:p>
    <w:p w14:paraId="1B41C7EC" w14:textId="77777777" w:rsidR="00DB7AEE" w:rsidRPr="00DB7AEE" w:rsidRDefault="00DB7AEE" w:rsidP="00295575">
      <w:pPr>
        <w:spacing w:line="240" w:lineRule="auto"/>
        <w:jc w:val="both"/>
        <w:rPr>
          <w:rFonts w:ascii="Arial" w:hAnsi="Arial" w:cs="Arial"/>
          <w:b/>
          <w:bCs/>
          <w:sz w:val="20"/>
          <w:szCs w:val="20"/>
        </w:rPr>
      </w:pPr>
      <w:r w:rsidRPr="00DB7AEE">
        <w:rPr>
          <w:rFonts w:ascii="Arial" w:hAnsi="Arial" w:cs="Arial"/>
          <w:b/>
          <w:bCs/>
          <w:sz w:val="20"/>
          <w:szCs w:val="20"/>
        </w:rPr>
        <w:t>2. El Componente Emocional y Motivacional</w:t>
      </w:r>
    </w:p>
    <w:p w14:paraId="459F6DF8" w14:textId="77777777" w:rsidR="00DB7AEE" w:rsidRPr="00DB7AEE" w:rsidRDefault="00DB7AEE" w:rsidP="00295575">
      <w:pPr>
        <w:spacing w:line="240" w:lineRule="auto"/>
        <w:jc w:val="both"/>
        <w:rPr>
          <w:rFonts w:ascii="Arial" w:hAnsi="Arial" w:cs="Arial"/>
          <w:sz w:val="20"/>
          <w:szCs w:val="20"/>
        </w:rPr>
      </w:pPr>
      <w:r w:rsidRPr="00DB7AEE">
        <w:rPr>
          <w:rFonts w:ascii="Arial" w:hAnsi="Arial" w:cs="Arial"/>
          <w:sz w:val="20"/>
          <w:szCs w:val="20"/>
        </w:rPr>
        <w:t>La razón no actúa de forma aislada; depende de estructuras subcorticales que modulan la conducta:</w:t>
      </w:r>
    </w:p>
    <w:p w14:paraId="1881D95D" w14:textId="79C2DD5D" w:rsidR="00DB7AEE" w:rsidRPr="00DB7AEE" w:rsidRDefault="00DB7AEE" w:rsidP="00295575">
      <w:pPr>
        <w:numPr>
          <w:ilvl w:val="0"/>
          <w:numId w:val="8"/>
        </w:numPr>
        <w:spacing w:line="240" w:lineRule="auto"/>
        <w:jc w:val="both"/>
        <w:rPr>
          <w:rFonts w:ascii="Arial" w:hAnsi="Arial" w:cs="Arial"/>
          <w:sz w:val="20"/>
          <w:szCs w:val="20"/>
        </w:rPr>
      </w:pPr>
      <w:r w:rsidRPr="00DB7AEE">
        <w:rPr>
          <w:rFonts w:ascii="Arial" w:hAnsi="Arial" w:cs="Arial"/>
          <w:b/>
          <w:bCs/>
          <w:sz w:val="20"/>
          <w:szCs w:val="20"/>
        </w:rPr>
        <w:t>Amígdala:</w:t>
      </w:r>
      <w:r w:rsidRPr="00DB7AEE">
        <w:rPr>
          <w:rFonts w:ascii="Arial" w:hAnsi="Arial" w:cs="Arial"/>
          <w:sz w:val="20"/>
          <w:szCs w:val="20"/>
        </w:rPr>
        <w:t xml:space="preserve"> Funciona como un sistema de alarma que procesa el miedo y la ansiedad, priorizando respuestas rápidas de supervivencia en situaciones de riesgo.</w:t>
      </w:r>
    </w:p>
    <w:p w14:paraId="6A2FB33C" w14:textId="31735EFF" w:rsidR="00DB7AEE" w:rsidRPr="00DB7AEE" w:rsidRDefault="00DB7AEE" w:rsidP="00295575">
      <w:pPr>
        <w:numPr>
          <w:ilvl w:val="0"/>
          <w:numId w:val="8"/>
        </w:numPr>
        <w:spacing w:line="240" w:lineRule="auto"/>
        <w:jc w:val="both"/>
        <w:rPr>
          <w:rFonts w:ascii="Arial" w:hAnsi="Arial" w:cs="Arial"/>
          <w:sz w:val="20"/>
          <w:szCs w:val="20"/>
        </w:rPr>
      </w:pPr>
      <w:r w:rsidRPr="00DB7AEE">
        <w:rPr>
          <w:rFonts w:ascii="Arial" w:hAnsi="Arial" w:cs="Arial"/>
          <w:b/>
          <w:bCs/>
          <w:sz w:val="20"/>
          <w:szCs w:val="20"/>
        </w:rPr>
        <w:t>Núcleo Accumbens (</w:t>
      </w:r>
      <w:proofErr w:type="spellStart"/>
      <w:r w:rsidRPr="00DB7AEE">
        <w:rPr>
          <w:rFonts w:ascii="Arial" w:hAnsi="Arial" w:cs="Arial"/>
          <w:b/>
          <w:bCs/>
          <w:sz w:val="20"/>
          <w:szCs w:val="20"/>
        </w:rPr>
        <w:t>NAcc</w:t>
      </w:r>
      <w:proofErr w:type="spellEnd"/>
      <w:r w:rsidRPr="00DB7AEE">
        <w:rPr>
          <w:rFonts w:ascii="Arial" w:hAnsi="Arial" w:cs="Arial"/>
          <w:b/>
          <w:bCs/>
          <w:sz w:val="20"/>
          <w:szCs w:val="20"/>
        </w:rPr>
        <w:t>):</w:t>
      </w:r>
      <w:r w:rsidRPr="00DB7AEE">
        <w:rPr>
          <w:rFonts w:ascii="Arial" w:hAnsi="Arial" w:cs="Arial"/>
          <w:sz w:val="20"/>
          <w:szCs w:val="20"/>
        </w:rPr>
        <w:t xml:space="preserve"> Es el centro de la motivación y el placer. Refuerza comportamientos mediante la liberación de dopamina al detectar recompensas potenciales.</w:t>
      </w:r>
    </w:p>
    <w:p w14:paraId="5592CE20" w14:textId="3FE12217" w:rsidR="00DB7AEE" w:rsidRPr="00DB7AEE" w:rsidRDefault="00DB7AEE" w:rsidP="00295575">
      <w:pPr>
        <w:numPr>
          <w:ilvl w:val="0"/>
          <w:numId w:val="8"/>
        </w:numPr>
        <w:spacing w:line="240" w:lineRule="auto"/>
        <w:jc w:val="both"/>
        <w:rPr>
          <w:rFonts w:ascii="Arial" w:hAnsi="Arial" w:cs="Arial"/>
          <w:sz w:val="20"/>
          <w:szCs w:val="20"/>
        </w:rPr>
      </w:pPr>
      <w:r w:rsidRPr="00DB7AEE">
        <w:rPr>
          <w:rFonts w:ascii="Arial" w:hAnsi="Arial" w:cs="Arial"/>
          <w:b/>
          <w:bCs/>
          <w:sz w:val="20"/>
          <w:szCs w:val="20"/>
        </w:rPr>
        <w:t>Hipocampo:</w:t>
      </w:r>
      <w:r w:rsidRPr="00DB7AEE">
        <w:rPr>
          <w:rFonts w:ascii="Arial" w:hAnsi="Arial" w:cs="Arial"/>
          <w:sz w:val="20"/>
          <w:szCs w:val="20"/>
        </w:rPr>
        <w:t xml:space="preserve"> Aporta el contexto y la memoria para guiar decisiones basadas en experiencias pasadas.</w:t>
      </w:r>
    </w:p>
    <w:p w14:paraId="7BFA7E9C" w14:textId="77777777" w:rsidR="00DB7AEE" w:rsidRPr="00DB7AEE" w:rsidRDefault="00DB7AEE" w:rsidP="00295575">
      <w:pPr>
        <w:spacing w:line="240" w:lineRule="auto"/>
        <w:jc w:val="both"/>
        <w:rPr>
          <w:rFonts w:ascii="Arial" w:hAnsi="Arial" w:cs="Arial"/>
          <w:b/>
          <w:bCs/>
          <w:sz w:val="20"/>
          <w:szCs w:val="20"/>
        </w:rPr>
      </w:pPr>
      <w:r w:rsidRPr="00DB7AEE">
        <w:rPr>
          <w:rFonts w:ascii="Arial" w:hAnsi="Arial" w:cs="Arial"/>
          <w:b/>
          <w:bCs/>
          <w:sz w:val="20"/>
          <w:szCs w:val="20"/>
        </w:rPr>
        <w:t>3. Modulación Neuroquímica</w:t>
      </w:r>
    </w:p>
    <w:p w14:paraId="53D81078" w14:textId="77777777" w:rsidR="00DB7AEE" w:rsidRPr="00DB7AEE" w:rsidRDefault="00DB7AEE" w:rsidP="00295575">
      <w:pPr>
        <w:spacing w:line="240" w:lineRule="auto"/>
        <w:jc w:val="both"/>
        <w:rPr>
          <w:rFonts w:ascii="Arial" w:hAnsi="Arial" w:cs="Arial"/>
          <w:sz w:val="20"/>
          <w:szCs w:val="20"/>
        </w:rPr>
      </w:pPr>
      <w:r w:rsidRPr="00DB7AEE">
        <w:rPr>
          <w:rFonts w:ascii="Arial" w:hAnsi="Arial" w:cs="Arial"/>
          <w:sz w:val="20"/>
          <w:szCs w:val="20"/>
        </w:rPr>
        <w:t>El equilibrio de neurotransmisores determina la calidad de nuestras elecciones:</w:t>
      </w:r>
    </w:p>
    <w:p w14:paraId="22FCB7B8" w14:textId="77777777" w:rsidR="00DB7AEE" w:rsidRPr="00DB7AEE" w:rsidRDefault="00DB7AEE" w:rsidP="00295575">
      <w:pPr>
        <w:numPr>
          <w:ilvl w:val="0"/>
          <w:numId w:val="9"/>
        </w:numPr>
        <w:spacing w:line="240" w:lineRule="auto"/>
        <w:jc w:val="both"/>
        <w:rPr>
          <w:rFonts w:ascii="Arial" w:hAnsi="Arial" w:cs="Arial"/>
          <w:sz w:val="20"/>
          <w:szCs w:val="20"/>
        </w:rPr>
      </w:pPr>
      <w:r w:rsidRPr="00DB7AEE">
        <w:rPr>
          <w:rFonts w:ascii="Arial" w:hAnsi="Arial" w:cs="Arial"/>
          <w:b/>
          <w:bCs/>
          <w:sz w:val="20"/>
          <w:szCs w:val="20"/>
        </w:rPr>
        <w:t>Dopamina:</w:t>
      </w:r>
      <w:r w:rsidRPr="00DB7AEE">
        <w:rPr>
          <w:rFonts w:ascii="Arial" w:hAnsi="Arial" w:cs="Arial"/>
          <w:sz w:val="20"/>
          <w:szCs w:val="20"/>
        </w:rPr>
        <w:t xml:space="preserve"> Incrementa la motivación y refuerza conductas asociadas a recompensas.</w:t>
      </w:r>
    </w:p>
    <w:p w14:paraId="5420C571" w14:textId="77777777" w:rsidR="00DB7AEE" w:rsidRPr="00DB7AEE" w:rsidRDefault="00DB7AEE" w:rsidP="00295575">
      <w:pPr>
        <w:numPr>
          <w:ilvl w:val="0"/>
          <w:numId w:val="9"/>
        </w:numPr>
        <w:spacing w:line="240" w:lineRule="auto"/>
        <w:jc w:val="both"/>
        <w:rPr>
          <w:rFonts w:ascii="Arial" w:hAnsi="Arial" w:cs="Arial"/>
          <w:sz w:val="20"/>
          <w:szCs w:val="20"/>
        </w:rPr>
      </w:pPr>
      <w:r w:rsidRPr="00DB7AEE">
        <w:rPr>
          <w:rFonts w:ascii="Arial" w:hAnsi="Arial" w:cs="Arial"/>
          <w:b/>
          <w:bCs/>
          <w:sz w:val="20"/>
          <w:szCs w:val="20"/>
        </w:rPr>
        <w:t>Serotonina:</w:t>
      </w:r>
      <w:r w:rsidRPr="00DB7AEE">
        <w:rPr>
          <w:rFonts w:ascii="Arial" w:hAnsi="Arial" w:cs="Arial"/>
          <w:sz w:val="20"/>
          <w:szCs w:val="20"/>
        </w:rPr>
        <w:t xml:space="preserve"> Regula el control emocional, la impulsividad y la aversión al riesgo.</w:t>
      </w:r>
    </w:p>
    <w:p w14:paraId="0843515A" w14:textId="77777777" w:rsidR="00DB7AEE" w:rsidRPr="00DB7AEE" w:rsidRDefault="00DB7AEE" w:rsidP="00295575">
      <w:pPr>
        <w:numPr>
          <w:ilvl w:val="0"/>
          <w:numId w:val="9"/>
        </w:numPr>
        <w:spacing w:line="240" w:lineRule="auto"/>
        <w:jc w:val="both"/>
        <w:rPr>
          <w:rFonts w:ascii="Arial" w:hAnsi="Arial" w:cs="Arial"/>
          <w:sz w:val="20"/>
          <w:szCs w:val="20"/>
        </w:rPr>
      </w:pPr>
      <w:r w:rsidRPr="00DB7AEE">
        <w:rPr>
          <w:rFonts w:ascii="Arial" w:hAnsi="Arial" w:cs="Arial"/>
          <w:b/>
          <w:bCs/>
          <w:sz w:val="20"/>
          <w:szCs w:val="20"/>
        </w:rPr>
        <w:t>Noradrenalina:</w:t>
      </w:r>
      <w:r w:rsidRPr="00DB7AEE">
        <w:rPr>
          <w:rFonts w:ascii="Arial" w:hAnsi="Arial" w:cs="Arial"/>
          <w:sz w:val="20"/>
          <w:szCs w:val="20"/>
        </w:rPr>
        <w:t xml:space="preserve"> Optimiza la atención selectiva y la adaptación ante la incertidumbre.</w:t>
      </w:r>
    </w:p>
    <w:p w14:paraId="1994A03F" w14:textId="77777777" w:rsidR="00DB7AEE" w:rsidRPr="00DB7AEE" w:rsidRDefault="00DB7AEE" w:rsidP="00295575">
      <w:pPr>
        <w:numPr>
          <w:ilvl w:val="0"/>
          <w:numId w:val="9"/>
        </w:numPr>
        <w:spacing w:line="240" w:lineRule="auto"/>
        <w:jc w:val="both"/>
        <w:rPr>
          <w:rFonts w:ascii="Arial" w:hAnsi="Arial" w:cs="Arial"/>
          <w:sz w:val="20"/>
          <w:szCs w:val="20"/>
        </w:rPr>
      </w:pPr>
      <w:r w:rsidRPr="00DB7AEE">
        <w:rPr>
          <w:rFonts w:ascii="Arial" w:hAnsi="Arial" w:cs="Arial"/>
          <w:b/>
          <w:bCs/>
          <w:sz w:val="20"/>
          <w:szCs w:val="20"/>
        </w:rPr>
        <w:t>Glutamato y GABA:</w:t>
      </w:r>
      <w:r w:rsidRPr="00DB7AEE">
        <w:rPr>
          <w:rFonts w:ascii="Arial" w:hAnsi="Arial" w:cs="Arial"/>
          <w:sz w:val="20"/>
          <w:szCs w:val="20"/>
        </w:rPr>
        <w:t xml:space="preserve"> Mantienen el balance entre la excitación y la inhibición neuronal, esencial para la flexibilidad cognitiva.</w:t>
      </w:r>
    </w:p>
    <w:p w14:paraId="75D44D5A" w14:textId="77777777" w:rsidR="00DB7AEE" w:rsidRPr="00DB7AEE" w:rsidRDefault="00DB7AEE" w:rsidP="00295575">
      <w:pPr>
        <w:spacing w:line="240" w:lineRule="auto"/>
        <w:jc w:val="both"/>
        <w:rPr>
          <w:rFonts w:ascii="Arial" w:hAnsi="Arial" w:cs="Arial"/>
          <w:b/>
          <w:bCs/>
          <w:sz w:val="20"/>
          <w:szCs w:val="20"/>
        </w:rPr>
      </w:pPr>
      <w:r w:rsidRPr="00DB7AEE">
        <w:rPr>
          <w:rFonts w:ascii="Arial" w:hAnsi="Arial" w:cs="Arial"/>
          <w:b/>
          <w:bCs/>
          <w:sz w:val="20"/>
          <w:szCs w:val="20"/>
        </w:rPr>
        <w:t>4. Vulnerabilidad en la Adolescencia</w:t>
      </w:r>
    </w:p>
    <w:p w14:paraId="135B85ED" w14:textId="5314A435" w:rsidR="00DB7AEE" w:rsidRPr="00DB7AEE" w:rsidRDefault="00DB7AEE" w:rsidP="00295575">
      <w:pPr>
        <w:spacing w:line="240" w:lineRule="auto"/>
        <w:jc w:val="both"/>
        <w:rPr>
          <w:rFonts w:ascii="Arial" w:hAnsi="Arial" w:cs="Arial"/>
          <w:sz w:val="20"/>
          <w:szCs w:val="20"/>
        </w:rPr>
      </w:pPr>
      <w:r w:rsidRPr="00DB7AEE">
        <w:rPr>
          <w:rFonts w:ascii="Arial" w:hAnsi="Arial" w:cs="Arial"/>
          <w:sz w:val="20"/>
          <w:szCs w:val="20"/>
        </w:rPr>
        <w:t xml:space="preserve">Un punto clave para la ética en grado décimo es el </w:t>
      </w:r>
      <w:r w:rsidRPr="00DB7AEE">
        <w:rPr>
          <w:rFonts w:ascii="Arial" w:hAnsi="Arial" w:cs="Arial"/>
          <w:b/>
          <w:bCs/>
          <w:sz w:val="20"/>
          <w:szCs w:val="20"/>
        </w:rPr>
        <w:t>"desfase madurativo"</w:t>
      </w:r>
      <w:r w:rsidRPr="00DB7AEE">
        <w:rPr>
          <w:rFonts w:ascii="Arial" w:hAnsi="Arial" w:cs="Arial"/>
          <w:sz w:val="20"/>
          <w:szCs w:val="20"/>
        </w:rPr>
        <w:t xml:space="preserve">. Mientras el sistema límbico (emociones y recompensas) se desarrolla aceleradamente, la CPF (autocontrol) no alcanza </w:t>
      </w:r>
      <w:r w:rsidRPr="00DB7AEE">
        <w:rPr>
          <w:rFonts w:ascii="Arial" w:hAnsi="Arial" w:cs="Arial"/>
          <w:sz w:val="20"/>
          <w:szCs w:val="20"/>
        </w:rPr>
        <w:lastRenderedPageBreak/>
        <w:t>su madurez plena hasta los 30 años. Esto explica por qué los adolescentes son biológicamente más sensibles a las recompensas inmediatas y más propensos a conductas impulsivas o de riesgo</w:t>
      </w:r>
    </w:p>
    <w:p w14:paraId="392D9191" w14:textId="77777777" w:rsidR="00DB7AEE" w:rsidRPr="00DB7AEE" w:rsidRDefault="00DB7AEE" w:rsidP="00295575">
      <w:pPr>
        <w:spacing w:line="240" w:lineRule="auto"/>
        <w:jc w:val="both"/>
        <w:rPr>
          <w:rFonts w:ascii="Arial" w:hAnsi="Arial" w:cs="Arial"/>
          <w:b/>
          <w:bCs/>
          <w:sz w:val="20"/>
          <w:szCs w:val="20"/>
        </w:rPr>
      </w:pPr>
      <w:r w:rsidRPr="00DB7AEE">
        <w:rPr>
          <w:rFonts w:ascii="Arial" w:hAnsi="Arial" w:cs="Arial"/>
          <w:b/>
          <w:bCs/>
          <w:sz w:val="20"/>
          <w:szCs w:val="20"/>
        </w:rPr>
        <w:t>5. Desafíos de la Era Digital</w:t>
      </w:r>
    </w:p>
    <w:p w14:paraId="2436318F" w14:textId="77777777" w:rsidR="00DB7AEE" w:rsidRPr="00DB7AEE" w:rsidRDefault="00DB7AEE" w:rsidP="00295575">
      <w:pPr>
        <w:spacing w:line="240" w:lineRule="auto"/>
        <w:jc w:val="both"/>
        <w:rPr>
          <w:rFonts w:ascii="Arial" w:hAnsi="Arial" w:cs="Arial"/>
          <w:sz w:val="20"/>
          <w:szCs w:val="20"/>
        </w:rPr>
      </w:pPr>
      <w:r w:rsidRPr="00DB7AEE">
        <w:rPr>
          <w:rFonts w:ascii="Arial" w:hAnsi="Arial" w:cs="Arial"/>
          <w:sz w:val="20"/>
          <w:szCs w:val="20"/>
        </w:rPr>
        <w:t>El entorno tecnológico actual impacta directamente estos procesos:</w:t>
      </w:r>
    </w:p>
    <w:p w14:paraId="4E17F22C" w14:textId="77777777" w:rsidR="00DB7AEE" w:rsidRPr="00DB7AEE" w:rsidRDefault="00DB7AEE" w:rsidP="00295575">
      <w:pPr>
        <w:numPr>
          <w:ilvl w:val="0"/>
          <w:numId w:val="10"/>
        </w:numPr>
        <w:spacing w:line="240" w:lineRule="auto"/>
        <w:jc w:val="both"/>
        <w:rPr>
          <w:rFonts w:ascii="Arial" w:hAnsi="Arial" w:cs="Arial"/>
          <w:sz w:val="20"/>
          <w:szCs w:val="20"/>
        </w:rPr>
      </w:pPr>
      <w:r w:rsidRPr="00DB7AEE">
        <w:rPr>
          <w:rFonts w:ascii="Arial" w:hAnsi="Arial" w:cs="Arial"/>
          <w:b/>
          <w:bCs/>
          <w:sz w:val="20"/>
          <w:szCs w:val="20"/>
        </w:rPr>
        <w:t>Sobrecarga Cognitiva:</w:t>
      </w:r>
      <w:r w:rsidRPr="00DB7AEE">
        <w:rPr>
          <w:rFonts w:ascii="Arial" w:hAnsi="Arial" w:cs="Arial"/>
          <w:sz w:val="20"/>
          <w:szCs w:val="20"/>
        </w:rPr>
        <w:t xml:space="preserve"> Las notificaciones constantes agotan la atención y afectan la memoria de trabajo, dificultando decisiones racionales.</w:t>
      </w:r>
    </w:p>
    <w:p w14:paraId="07B256CF" w14:textId="77777777" w:rsidR="00DB7AEE" w:rsidRPr="00DB7AEE" w:rsidRDefault="00DB7AEE" w:rsidP="00295575">
      <w:pPr>
        <w:numPr>
          <w:ilvl w:val="0"/>
          <w:numId w:val="10"/>
        </w:numPr>
        <w:spacing w:line="240" w:lineRule="auto"/>
        <w:jc w:val="both"/>
        <w:rPr>
          <w:rFonts w:ascii="Arial" w:hAnsi="Arial" w:cs="Arial"/>
          <w:sz w:val="20"/>
          <w:szCs w:val="20"/>
        </w:rPr>
      </w:pPr>
      <w:r w:rsidRPr="00DB7AEE">
        <w:rPr>
          <w:rFonts w:ascii="Arial" w:hAnsi="Arial" w:cs="Arial"/>
          <w:b/>
          <w:bCs/>
          <w:sz w:val="20"/>
          <w:szCs w:val="20"/>
        </w:rPr>
        <w:t>Circuito de Recompensa:</w:t>
      </w:r>
      <w:r w:rsidRPr="00DB7AEE">
        <w:rPr>
          <w:rFonts w:ascii="Arial" w:hAnsi="Arial" w:cs="Arial"/>
          <w:sz w:val="20"/>
          <w:szCs w:val="20"/>
        </w:rPr>
        <w:t xml:space="preserve"> Las redes sociales fomentan la búsqueda de aprobación social y la gratificación instantánea, lo que puede amplificar sesgos y aumentar la impulsividad.</w:t>
      </w:r>
    </w:p>
    <w:p w14:paraId="19A715D7" w14:textId="59EC6EE7" w:rsidR="00DB7AEE" w:rsidRPr="00295575" w:rsidRDefault="00DB7AEE" w:rsidP="00295575">
      <w:pPr>
        <w:spacing w:line="240" w:lineRule="auto"/>
        <w:jc w:val="both"/>
        <w:rPr>
          <w:rFonts w:ascii="Arial" w:hAnsi="Arial" w:cs="Arial"/>
          <w:sz w:val="20"/>
          <w:szCs w:val="20"/>
        </w:rPr>
      </w:pPr>
      <w:r w:rsidRPr="00DB7AEE">
        <w:rPr>
          <w:rFonts w:ascii="Arial" w:hAnsi="Arial" w:cs="Arial"/>
          <w:b/>
          <w:bCs/>
          <w:sz w:val="20"/>
          <w:szCs w:val="20"/>
        </w:rPr>
        <w:t>Conclusión Ética:</w:t>
      </w:r>
      <w:r w:rsidRPr="00DB7AEE">
        <w:rPr>
          <w:rFonts w:ascii="Arial" w:hAnsi="Arial" w:cs="Arial"/>
          <w:sz w:val="20"/>
          <w:szCs w:val="20"/>
        </w:rPr>
        <w:t xml:space="preserve"> El artículo subraya que cualquier alteración en la integridad de la CPF —ya sea por lesiones, consumo de sustancias o sobreestimulación digital— compromete la capacidad del individuo para actuar de forma funcional y responsable a largo plazo</w:t>
      </w:r>
    </w:p>
    <w:p w14:paraId="270B8CD5" w14:textId="24A11259" w:rsidR="00A74138" w:rsidRPr="00A74138" w:rsidRDefault="00DB7AEE" w:rsidP="00295575">
      <w:pPr>
        <w:spacing w:line="240" w:lineRule="auto"/>
        <w:jc w:val="both"/>
        <w:rPr>
          <w:rFonts w:ascii="Arial" w:hAnsi="Arial" w:cs="Arial"/>
          <w:sz w:val="20"/>
          <w:szCs w:val="20"/>
        </w:rPr>
      </w:pPr>
      <w:hyperlink r:id="rId7" w:history="1">
        <w:r w:rsidRPr="00295575">
          <w:rPr>
            <w:rStyle w:val="Hipervnculo"/>
            <w:rFonts w:ascii="Arial" w:hAnsi="Arial" w:cs="Arial"/>
            <w:sz w:val="20"/>
            <w:szCs w:val="20"/>
          </w:rPr>
          <w:t>file:///C:/Users/DOCENTE/Downloads/22019-Texto%20del%20art%C3%ADculo-98113-1-10-20260126.pdf</w:t>
        </w:r>
      </w:hyperlink>
      <w:r w:rsidRPr="00295575">
        <w:rPr>
          <w:rFonts w:ascii="Arial" w:hAnsi="Arial" w:cs="Arial"/>
          <w:sz w:val="20"/>
          <w:szCs w:val="20"/>
        </w:rPr>
        <w:t xml:space="preserve">  </w:t>
      </w:r>
    </w:p>
    <w:p w14:paraId="01268AE5" w14:textId="77777777" w:rsidR="00A74138" w:rsidRPr="00A74138" w:rsidRDefault="00A74138" w:rsidP="00295575">
      <w:pPr>
        <w:spacing w:line="240" w:lineRule="auto"/>
        <w:jc w:val="both"/>
        <w:rPr>
          <w:rFonts w:ascii="Arial" w:hAnsi="Arial" w:cs="Arial"/>
          <w:b/>
          <w:bCs/>
          <w:sz w:val="20"/>
          <w:szCs w:val="20"/>
        </w:rPr>
      </w:pPr>
      <w:r w:rsidRPr="00A74138">
        <w:rPr>
          <w:rFonts w:ascii="Arial" w:hAnsi="Arial" w:cs="Arial"/>
          <w:b/>
          <w:bCs/>
          <w:sz w:val="20"/>
          <w:szCs w:val="20"/>
        </w:rPr>
        <w:t>Guía de Afianzamiento: Neurociencia y Ética</w:t>
      </w:r>
    </w:p>
    <w:p w14:paraId="3EAB198E" w14:textId="77777777" w:rsidR="00A74138" w:rsidRPr="00A74138" w:rsidRDefault="00A74138" w:rsidP="00295575">
      <w:pPr>
        <w:spacing w:line="240" w:lineRule="auto"/>
        <w:jc w:val="both"/>
        <w:rPr>
          <w:rFonts w:ascii="Arial" w:hAnsi="Arial" w:cs="Arial"/>
          <w:sz w:val="20"/>
          <w:szCs w:val="20"/>
        </w:rPr>
      </w:pPr>
      <w:r w:rsidRPr="00A74138">
        <w:rPr>
          <w:rFonts w:ascii="Arial" w:hAnsi="Arial" w:cs="Arial"/>
          <w:b/>
          <w:bCs/>
          <w:sz w:val="20"/>
          <w:szCs w:val="20"/>
        </w:rPr>
        <w:t>Instrucciones:</w:t>
      </w:r>
      <w:r w:rsidRPr="00A74138">
        <w:rPr>
          <w:rFonts w:ascii="Arial" w:hAnsi="Arial" w:cs="Arial"/>
          <w:sz w:val="20"/>
          <w:szCs w:val="20"/>
        </w:rPr>
        <w:t xml:space="preserve"> Responde de manera argumentada, utilizando los términos técnicos del artículo (CPF, dopamina, sistema límbico, etc.) y relacionándolos con la conducta humana.</w:t>
      </w:r>
    </w:p>
    <w:p w14:paraId="4500366D" w14:textId="77777777" w:rsidR="00A74138" w:rsidRPr="00A74138" w:rsidRDefault="00A74138" w:rsidP="00295575">
      <w:pPr>
        <w:spacing w:line="240" w:lineRule="auto"/>
        <w:jc w:val="both"/>
        <w:rPr>
          <w:rFonts w:ascii="Arial" w:hAnsi="Arial" w:cs="Arial"/>
          <w:b/>
          <w:bCs/>
          <w:sz w:val="20"/>
          <w:szCs w:val="20"/>
        </w:rPr>
      </w:pPr>
      <w:r w:rsidRPr="00A74138">
        <w:rPr>
          <w:rFonts w:ascii="Arial" w:hAnsi="Arial" w:cs="Arial"/>
          <w:b/>
          <w:bCs/>
          <w:sz w:val="20"/>
          <w:szCs w:val="20"/>
        </w:rPr>
        <w:t>I. Análisis de Mecanismos Cerebrales</w:t>
      </w:r>
    </w:p>
    <w:p w14:paraId="3434D0BC" w14:textId="77777777" w:rsidR="00A74138" w:rsidRPr="00A74138" w:rsidRDefault="00A74138" w:rsidP="00295575">
      <w:pPr>
        <w:numPr>
          <w:ilvl w:val="0"/>
          <w:numId w:val="11"/>
        </w:numPr>
        <w:spacing w:line="240" w:lineRule="auto"/>
        <w:jc w:val="both"/>
        <w:rPr>
          <w:rFonts w:ascii="Arial" w:hAnsi="Arial" w:cs="Arial"/>
          <w:sz w:val="20"/>
          <w:szCs w:val="20"/>
        </w:rPr>
      </w:pPr>
      <w:r w:rsidRPr="00A74138">
        <w:rPr>
          <w:rFonts w:ascii="Arial" w:hAnsi="Arial" w:cs="Arial"/>
          <w:b/>
          <w:bCs/>
          <w:sz w:val="20"/>
          <w:szCs w:val="20"/>
        </w:rPr>
        <w:t>El contrapeso biológico:</w:t>
      </w:r>
      <w:r w:rsidRPr="00A74138">
        <w:rPr>
          <w:rFonts w:ascii="Arial" w:hAnsi="Arial" w:cs="Arial"/>
          <w:sz w:val="20"/>
          <w:szCs w:val="20"/>
        </w:rPr>
        <w:t xml:space="preserve"> El texto menciona que la toma de decisiones es un equilibrio entre la Corteza Prefrontal (razón) y el Sistema Límbico (emoción). Explica qué sucede a nivel ético cuando una persona tiene una "hiperactividad" en la amígdala y una baja actividad en la CPFDL ante un conflicto escolar.</w:t>
      </w:r>
    </w:p>
    <w:p w14:paraId="69388DAB" w14:textId="77777777" w:rsidR="00A74138" w:rsidRPr="00A74138" w:rsidRDefault="00A74138" w:rsidP="00295575">
      <w:pPr>
        <w:numPr>
          <w:ilvl w:val="0"/>
          <w:numId w:val="11"/>
        </w:numPr>
        <w:spacing w:line="240" w:lineRule="auto"/>
        <w:jc w:val="both"/>
        <w:rPr>
          <w:rFonts w:ascii="Arial" w:hAnsi="Arial" w:cs="Arial"/>
          <w:sz w:val="20"/>
          <w:szCs w:val="20"/>
        </w:rPr>
      </w:pPr>
      <w:r w:rsidRPr="00A74138">
        <w:rPr>
          <w:rFonts w:ascii="Arial" w:hAnsi="Arial" w:cs="Arial"/>
          <w:b/>
          <w:bCs/>
          <w:sz w:val="20"/>
          <w:szCs w:val="20"/>
        </w:rPr>
        <w:t>La función de la CCA:</w:t>
      </w:r>
      <w:r w:rsidRPr="00A74138">
        <w:rPr>
          <w:rFonts w:ascii="Arial" w:hAnsi="Arial" w:cs="Arial"/>
          <w:sz w:val="20"/>
          <w:szCs w:val="20"/>
        </w:rPr>
        <w:t xml:space="preserve"> Describe la importancia de la Corteza Cingulada Anterior en la formación del carácter moral, considerando que su función es detectar errores y evaluar el "costo-beneficio" de nuestras acciones.</w:t>
      </w:r>
    </w:p>
    <w:p w14:paraId="399FBD00" w14:textId="77777777" w:rsidR="00A74138" w:rsidRPr="00A74138" w:rsidRDefault="00A74138" w:rsidP="00295575">
      <w:pPr>
        <w:numPr>
          <w:ilvl w:val="0"/>
          <w:numId w:val="11"/>
        </w:numPr>
        <w:spacing w:line="240" w:lineRule="auto"/>
        <w:jc w:val="both"/>
        <w:rPr>
          <w:rFonts w:ascii="Arial" w:hAnsi="Arial" w:cs="Arial"/>
          <w:sz w:val="20"/>
          <w:szCs w:val="20"/>
        </w:rPr>
      </w:pPr>
      <w:r w:rsidRPr="00A74138">
        <w:rPr>
          <w:rFonts w:ascii="Arial" w:hAnsi="Arial" w:cs="Arial"/>
          <w:b/>
          <w:bCs/>
          <w:sz w:val="20"/>
          <w:szCs w:val="20"/>
        </w:rPr>
        <w:t>Memoria y Ética:</w:t>
      </w:r>
      <w:r w:rsidRPr="00A74138">
        <w:rPr>
          <w:rFonts w:ascii="Arial" w:hAnsi="Arial" w:cs="Arial"/>
          <w:sz w:val="20"/>
          <w:szCs w:val="20"/>
        </w:rPr>
        <w:t xml:space="preserve"> ¿Por qué el Hipocampo es vital para no repetir errores éticos del pasado? Relaciona la consolidación de la memoria con la capacidad de aprender de las consecuencias de nuestras decisiones.</w:t>
      </w:r>
    </w:p>
    <w:p w14:paraId="402287B6" w14:textId="77777777" w:rsidR="00A74138" w:rsidRPr="00A74138" w:rsidRDefault="00A74138" w:rsidP="00295575">
      <w:pPr>
        <w:spacing w:line="240" w:lineRule="auto"/>
        <w:jc w:val="both"/>
        <w:rPr>
          <w:rFonts w:ascii="Arial" w:hAnsi="Arial" w:cs="Arial"/>
          <w:b/>
          <w:bCs/>
          <w:sz w:val="20"/>
          <w:szCs w:val="20"/>
        </w:rPr>
      </w:pPr>
      <w:r w:rsidRPr="00A74138">
        <w:rPr>
          <w:rFonts w:ascii="Arial" w:hAnsi="Arial" w:cs="Arial"/>
          <w:b/>
          <w:bCs/>
          <w:sz w:val="20"/>
          <w:szCs w:val="20"/>
        </w:rPr>
        <w:t>II. Neuroquímica y Voluntad</w:t>
      </w:r>
    </w:p>
    <w:p w14:paraId="07BD1B60" w14:textId="77777777" w:rsidR="00A74138" w:rsidRPr="00A74138" w:rsidRDefault="00A74138" w:rsidP="00295575">
      <w:pPr>
        <w:numPr>
          <w:ilvl w:val="0"/>
          <w:numId w:val="12"/>
        </w:numPr>
        <w:spacing w:line="240" w:lineRule="auto"/>
        <w:jc w:val="both"/>
        <w:rPr>
          <w:rFonts w:ascii="Arial" w:hAnsi="Arial" w:cs="Arial"/>
          <w:sz w:val="20"/>
          <w:szCs w:val="20"/>
        </w:rPr>
      </w:pPr>
      <w:r w:rsidRPr="00A74138">
        <w:rPr>
          <w:rFonts w:ascii="Arial" w:hAnsi="Arial" w:cs="Arial"/>
          <w:b/>
          <w:bCs/>
          <w:sz w:val="20"/>
          <w:szCs w:val="20"/>
        </w:rPr>
        <w:t>La trampa de la dopamina:</w:t>
      </w:r>
      <w:r w:rsidRPr="00A74138">
        <w:rPr>
          <w:rFonts w:ascii="Arial" w:hAnsi="Arial" w:cs="Arial"/>
          <w:sz w:val="20"/>
          <w:szCs w:val="20"/>
        </w:rPr>
        <w:t xml:space="preserve"> Basándote en lo que el texto dice sobre el Núcleo Accumbens y la dopamina, analiza por qué es tan difícil para un adolescente decir "no" a una gratificación instantánea (como el uso del celular o una fiesta) incluso cuando sabe que tiene responsabilidades pendientes.</w:t>
      </w:r>
    </w:p>
    <w:p w14:paraId="7CCFE592" w14:textId="77777777" w:rsidR="00A74138" w:rsidRPr="00A74138" w:rsidRDefault="00A74138" w:rsidP="00295575">
      <w:pPr>
        <w:numPr>
          <w:ilvl w:val="0"/>
          <w:numId w:val="12"/>
        </w:numPr>
        <w:spacing w:line="240" w:lineRule="auto"/>
        <w:jc w:val="both"/>
        <w:rPr>
          <w:rFonts w:ascii="Arial" w:hAnsi="Arial" w:cs="Arial"/>
          <w:sz w:val="20"/>
          <w:szCs w:val="20"/>
        </w:rPr>
      </w:pPr>
      <w:r w:rsidRPr="00A74138">
        <w:rPr>
          <w:rFonts w:ascii="Arial" w:hAnsi="Arial" w:cs="Arial"/>
          <w:b/>
          <w:bCs/>
          <w:sz w:val="20"/>
          <w:szCs w:val="20"/>
        </w:rPr>
        <w:t>Serotonina y Autocontrol:</w:t>
      </w:r>
      <w:r w:rsidRPr="00A74138">
        <w:rPr>
          <w:rFonts w:ascii="Arial" w:hAnsi="Arial" w:cs="Arial"/>
          <w:sz w:val="20"/>
          <w:szCs w:val="20"/>
        </w:rPr>
        <w:t xml:space="preserve"> Explica la relación entre los niveles de serotonina y la capacidad de un individuo para inhibir respuestas impulsivas o violentas en un entorno social.</w:t>
      </w:r>
    </w:p>
    <w:p w14:paraId="4EA71EFB" w14:textId="77777777" w:rsidR="00A74138" w:rsidRPr="00A74138" w:rsidRDefault="00A74138" w:rsidP="00295575">
      <w:pPr>
        <w:spacing w:line="240" w:lineRule="auto"/>
        <w:jc w:val="both"/>
        <w:rPr>
          <w:rFonts w:ascii="Arial" w:hAnsi="Arial" w:cs="Arial"/>
          <w:b/>
          <w:bCs/>
          <w:sz w:val="20"/>
          <w:szCs w:val="20"/>
        </w:rPr>
      </w:pPr>
      <w:r w:rsidRPr="00A74138">
        <w:rPr>
          <w:rFonts w:ascii="Arial" w:hAnsi="Arial" w:cs="Arial"/>
          <w:b/>
          <w:bCs/>
          <w:sz w:val="20"/>
          <w:szCs w:val="20"/>
        </w:rPr>
        <w:t>III. Casos de Análisis Crítico</w:t>
      </w:r>
    </w:p>
    <w:p w14:paraId="7C5C5048" w14:textId="77777777" w:rsidR="00A74138" w:rsidRPr="00A74138" w:rsidRDefault="00A74138" w:rsidP="00295575">
      <w:pPr>
        <w:numPr>
          <w:ilvl w:val="0"/>
          <w:numId w:val="13"/>
        </w:numPr>
        <w:spacing w:line="240" w:lineRule="auto"/>
        <w:jc w:val="both"/>
        <w:rPr>
          <w:rFonts w:ascii="Arial" w:hAnsi="Arial" w:cs="Arial"/>
          <w:sz w:val="20"/>
          <w:szCs w:val="20"/>
        </w:rPr>
      </w:pPr>
      <w:r w:rsidRPr="00A74138">
        <w:rPr>
          <w:rFonts w:ascii="Arial" w:hAnsi="Arial" w:cs="Arial"/>
          <w:b/>
          <w:bCs/>
          <w:sz w:val="20"/>
          <w:szCs w:val="20"/>
        </w:rPr>
        <w:t>Caso 1: El desfase madurativo.</w:t>
      </w:r>
      <w:r w:rsidRPr="00A74138">
        <w:rPr>
          <w:rFonts w:ascii="Arial" w:hAnsi="Arial" w:cs="Arial"/>
          <w:sz w:val="20"/>
          <w:szCs w:val="20"/>
        </w:rPr>
        <w:t xml:space="preserve"> Un estudiante de 16 años comete un acto de vandalismo por presión de grupo. Utilizando el concepto de "desfase entre el sistema límbico y la CPF" mencionado en el artículo, justifica por qué su responsabilidad legal podría ser distinta a la de un adulto de 40 años, pero argumenta por qué sigue teniendo una responsabilidad ética.</w:t>
      </w:r>
    </w:p>
    <w:p w14:paraId="7C80D6D5" w14:textId="77777777" w:rsidR="00A74138" w:rsidRPr="00A74138" w:rsidRDefault="00A74138" w:rsidP="00295575">
      <w:pPr>
        <w:numPr>
          <w:ilvl w:val="0"/>
          <w:numId w:val="13"/>
        </w:numPr>
        <w:spacing w:line="240" w:lineRule="auto"/>
        <w:jc w:val="both"/>
        <w:rPr>
          <w:rFonts w:ascii="Arial" w:hAnsi="Arial" w:cs="Arial"/>
          <w:sz w:val="20"/>
          <w:szCs w:val="20"/>
        </w:rPr>
      </w:pPr>
      <w:r w:rsidRPr="00A74138">
        <w:rPr>
          <w:rFonts w:ascii="Arial" w:hAnsi="Arial" w:cs="Arial"/>
          <w:b/>
          <w:bCs/>
          <w:sz w:val="20"/>
          <w:szCs w:val="20"/>
        </w:rPr>
        <w:t>Caso 2: Lesión en la CPFVM.</w:t>
      </w:r>
      <w:r w:rsidRPr="00A74138">
        <w:rPr>
          <w:rFonts w:ascii="Arial" w:hAnsi="Arial" w:cs="Arial"/>
          <w:sz w:val="20"/>
          <w:szCs w:val="20"/>
        </w:rPr>
        <w:t xml:space="preserve"> Imagina a una persona que, tras un accidente, sufre daños en su Corteza Prefrontal </w:t>
      </w:r>
      <w:proofErr w:type="spellStart"/>
      <w:r w:rsidRPr="00A74138">
        <w:rPr>
          <w:rFonts w:ascii="Arial" w:hAnsi="Arial" w:cs="Arial"/>
          <w:sz w:val="20"/>
          <w:szCs w:val="20"/>
        </w:rPr>
        <w:t>Ventromedial</w:t>
      </w:r>
      <w:proofErr w:type="spellEnd"/>
      <w:r w:rsidRPr="00A74138">
        <w:rPr>
          <w:rFonts w:ascii="Arial" w:hAnsi="Arial" w:cs="Arial"/>
          <w:sz w:val="20"/>
          <w:szCs w:val="20"/>
        </w:rPr>
        <w:t>. Según el texto, esta área integra emociones y normas. ¿Cómo cambiaría su capacidad para sentir empatía y cómo afectaría esto su comportamiento en una comunidad?</w:t>
      </w:r>
    </w:p>
    <w:p w14:paraId="75BEB32B" w14:textId="77777777" w:rsidR="00A74138" w:rsidRPr="00A74138" w:rsidRDefault="00A74138" w:rsidP="00295575">
      <w:pPr>
        <w:numPr>
          <w:ilvl w:val="0"/>
          <w:numId w:val="13"/>
        </w:numPr>
        <w:spacing w:line="240" w:lineRule="auto"/>
        <w:jc w:val="both"/>
        <w:rPr>
          <w:rFonts w:ascii="Arial" w:hAnsi="Arial" w:cs="Arial"/>
          <w:sz w:val="20"/>
          <w:szCs w:val="20"/>
        </w:rPr>
      </w:pPr>
      <w:r w:rsidRPr="00A74138">
        <w:rPr>
          <w:rFonts w:ascii="Arial" w:hAnsi="Arial" w:cs="Arial"/>
          <w:b/>
          <w:bCs/>
          <w:sz w:val="20"/>
          <w:szCs w:val="20"/>
        </w:rPr>
        <w:lastRenderedPageBreak/>
        <w:t>Caso 3: La era digital.</w:t>
      </w:r>
      <w:r w:rsidRPr="00A74138">
        <w:rPr>
          <w:rFonts w:ascii="Arial" w:hAnsi="Arial" w:cs="Arial"/>
          <w:sz w:val="20"/>
          <w:szCs w:val="20"/>
        </w:rPr>
        <w:t xml:space="preserve"> El artículo cita que la multitarea digital reduce la densidad de la materia gris en la CPF. Redacta una reflexión sobre cómo el consumo excesivo de "recompensas rápidas" en redes sociales está debilitando nuestra capacidad de tomar decisiones éticas profundas y pausadas.</w:t>
      </w:r>
    </w:p>
    <w:p w14:paraId="2FEC7A53" w14:textId="77777777" w:rsidR="00A74138" w:rsidRPr="00A74138" w:rsidRDefault="00A74138" w:rsidP="00295575">
      <w:pPr>
        <w:spacing w:line="240" w:lineRule="auto"/>
        <w:jc w:val="both"/>
        <w:rPr>
          <w:rFonts w:ascii="Arial" w:hAnsi="Arial" w:cs="Arial"/>
          <w:b/>
          <w:bCs/>
          <w:sz w:val="20"/>
          <w:szCs w:val="20"/>
        </w:rPr>
      </w:pPr>
      <w:r w:rsidRPr="00A74138">
        <w:rPr>
          <w:rFonts w:ascii="Arial" w:hAnsi="Arial" w:cs="Arial"/>
          <w:b/>
          <w:bCs/>
          <w:sz w:val="20"/>
          <w:szCs w:val="20"/>
        </w:rPr>
        <w:t>IV. Síntesis y Reflexión Filosófica</w:t>
      </w:r>
    </w:p>
    <w:p w14:paraId="1E1D85D1" w14:textId="0C2B13D5" w:rsidR="00A74138" w:rsidRPr="00A74138" w:rsidRDefault="00A74138" w:rsidP="00295575">
      <w:pPr>
        <w:numPr>
          <w:ilvl w:val="0"/>
          <w:numId w:val="14"/>
        </w:numPr>
        <w:spacing w:line="240" w:lineRule="auto"/>
        <w:jc w:val="both"/>
        <w:rPr>
          <w:rFonts w:ascii="Arial" w:hAnsi="Arial" w:cs="Arial"/>
          <w:sz w:val="20"/>
          <w:szCs w:val="20"/>
        </w:rPr>
      </w:pPr>
      <w:r w:rsidRPr="00A74138">
        <w:rPr>
          <w:rFonts w:ascii="Arial" w:hAnsi="Arial" w:cs="Arial"/>
          <w:b/>
          <w:bCs/>
          <w:sz w:val="20"/>
          <w:szCs w:val="20"/>
        </w:rPr>
        <w:t>Determinismo vs. Libertad:</w:t>
      </w:r>
      <w:r w:rsidRPr="00A74138">
        <w:rPr>
          <w:rFonts w:ascii="Arial" w:hAnsi="Arial" w:cs="Arial"/>
          <w:sz w:val="20"/>
          <w:szCs w:val="20"/>
        </w:rPr>
        <w:t xml:space="preserve"> Si nuestras decisiones dependen de neurotransmisores y estructuras cerebrales, ¿somos realmente libres o somos "máquinas biológicas"? Responde integrando la idea de "</w:t>
      </w:r>
      <w:r w:rsidRPr="00295575">
        <w:rPr>
          <w:rFonts w:ascii="Arial" w:hAnsi="Arial" w:cs="Arial"/>
          <w:sz w:val="20"/>
          <w:szCs w:val="20"/>
        </w:rPr>
        <w:t>neuro plasticidad</w:t>
      </w:r>
      <w:r w:rsidRPr="00A74138">
        <w:rPr>
          <w:rFonts w:ascii="Arial" w:hAnsi="Arial" w:cs="Arial"/>
          <w:sz w:val="20"/>
          <w:szCs w:val="20"/>
        </w:rPr>
        <w:t>" que sugiere el texto (la capacidad del cerebro de cambiar con el hábito).</w:t>
      </w:r>
    </w:p>
    <w:p w14:paraId="6DA35739" w14:textId="6FD15367" w:rsidR="00A74138" w:rsidRPr="00295575" w:rsidRDefault="00A74138" w:rsidP="00295575">
      <w:pPr>
        <w:numPr>
          <w:ilvl w:val="0"/>
          <w:numId w:val="14"/>
        </w:numPr>
        <w:spacing w:line="240" w:lineRule="auto"/>
        <w:jc w:val="both"/>
        <w:rPr>
          <w:rFonts w:ascii="Arial" w:hAnsi="Arial" w:cs="Arial"/>
          <w:sz w:val="20"/>
          <w:szCs w:val="20"/>
        </w:rPr>
      </w:pPr>
      <w:r w:rsidRPr="00A74138">
        <w:rPr>
          <w:rFonts w:ascii="Arial" w:hAnsi="Arial" w:cs="Arial"/>
          <w:b/>
          <w:bCs/>
          <w:sz w:val="20"/>
          <w:szCs w:val="20"/>
        </w:rPr>
        <w:t xml:space="preserve">El desafío de la </w:t>
      </w:r>
      <w:r w:rsidRPr="00295575">
        <w:rPr>
          <w:rFonts w:ascii="Arial" w:hAnsi="Arial" w:cs="Arial"/>
          <w:b/>
          <w:bCs/>
          <w:sz w:val="20"/>
          <w:szCs w:val="20"/>
        </w:rPr>
        <w:t>Neuro tecnología</w:t>
      </w:r>
      <w:r w:rsidRPr="00A74138">
        <w:rPr>
          <w:rFonts w:ascii="Arial" w:hAnsi="Arial" w:cs="Arial"/>
          <w:b/>
          <w:bCs/>
          <w:sz w:val="20"/>
          <w:szCs w:val="20"/>
        </w:rPr>
        <w:t>:</w:t>
      </w:r>
      <w:r w:rsidRPr="00A74138">
        <w:rPr>
          <w:rFonts w:ascii="Arial" w:hAnsi="Arial" w:cs="Arial"/>
          <w:sz w:val="20"/>
          <w:szCs w:val="20"/>
        </w:rPr>
        <w:t xml:space="preserve"> El texto advierte sobre el uso de la tecnología para manipular decisiones. Propón un principio ético que las empresas tecnológicas deberían seguir para respetar la "integridad funcional" del cerebro de los usuarios, especialmente de los jóvenes.</w:t>
      </w:r>
    </w:p>
    <w:p w14:paraId="5897D374" w14:textId="6ACE7A8B" w:rsidR="00A74138" w:rsidRPr="00295575" w:rsidRDefault="00A74138" w:rsidP="00295575">
      <w:pPr>
        <w:numPr>
          <w:ilvl w:val="0"/>
          <w:numId w:val="14"/>
        </w:numPr>
        <w:spacing w:line="240" w:lineRule="auto"/>
        <w:jc w:val="both"/>
        <w:rPr>
          <w:rFonts w:ascii="Arial" w:hAnsi="Arial" w:cs="Arial"/>
          <w:sz w:val="20"/>
          <w:szCs w:val="20"/>
        </w:rPr>
      </w:pPr>
      <w:r w:rsidRPr="00295575">
        <w:rPr>
          <w:rFonts w:ascii="Arial" w:hAnsi="Arial" w:cs="Arial"/>
          <w:b/>
          <w:bCs/>
          <w:sz w:val="20"/>
          <w:szCs w:val="20"/>
        </w:rPr>
        <w:t>Escribe un párrafo donde relaciones lo visto en clase con el taller y porque la neurociencia es importante en la toma de decisiones</w:t>
      </w:r>
    </w:p>
    <w:p w14:paraId="79F13768" w14:textId="287A565D" w:rsidR="00A74138" w:rsidRPr="00295575" w:rsidRDefault="00A74138" w:rsidP="00295575">
      <w:pPr>
        <w:numPr>
          <w:ilvl w:val="0"/>
          <w:numId w:val="14"/>
        </w:numPr>
        <w:spacing w:line="240" w:lineRule="auto"/>
        <w:jc w:val="both"/>
        <w:rPr>
          <w:rFonts w:ascii="Arial" w:hAnsi="Arial" w:cs="Arial"/>
          <w:sz w:val="20"/>
          <w:szCs w:val="20"/>
        </w:rPr>
      </w:pPr>
      <w:r w:rsidRPr="00295575">
        <w:rPr>
          <w:rFonts w:ascii="Arial" w:hAnsi="Arial" w:cs="Arial"/>
          <w:b/>
          <w:bCs/>
          <w:sz w:val="20"/>
          <w:szCs w:val="20"/>
        </w:rPr>
        <w:t>Relaciona tres conceptos de filósofos con los de neurociencia y realiza un cuadro comparativo</w:t>
      </w:r>
    </w:p>
    <w:p w14:paraId="74B11509" w14:textId="5E749ACF" w:rsidR="00A74138" w:rsidRPr="00295575" w:rsidRDefault="00A74138" w:rsidP="00295575">
      <w:pPr>
        <w:numPr>
          <w:ilvl w:val="0"/>
          <w:numId w:val="14"/>
        </w:numPr>
        <w:spacing w:line="240" w:lineRule="auto"/>
        <w:jc w:val="both"/>
        <w:rPr>
          <w:rFonts w:ascii="Arial" w:hAnsi="Arial" w:cs="Arial"/>
          <w:sz w:val="20"/>
          <w:szCs w:val="20"/>
        </w:rPr>
      </w:pPr>
      <w:r w:rsidRPr="00295575">
        <w:rPr>
          <w:rFonts w:ascii="Arial" w:hAnsi="Arial" w:cs="Arial"/>
          <w:b/>
          <w:bCs/>
          <w:sz w:val="20"/>
          <w:szCs w:val="20"/>
        </w:rPr>
        <w:t>Explica como este tema puede aportar a la creación de los sueños y la vida que deseas.</w:t>
      </w:r>
    </w:p>
    <w:p w14:paraId="772338AA" w14:textId="1A7DFC90" w:rsidR="00A74138" w:rsidRPr="00295575" w:rsidRDefault="00A74138" w:rsidP="00295575">
      <w:pPr>
        <w:numPr>
          <w:ilvl w:val="0"/>
          <w:numId w:val="14"/>
        </w:numPr>
        <w:spacing w:line="240" w:lineRule="auto"/>
        <w:jc w:val="both"/>
        <w:rPr>
          <w:rFonts w:ascii="Arial" w:hAnsi="Arial" w:cs="Arial"/>
          <w:sz w:val="20"/>
          <w:szCs w:val="20"/>
        </w:rPr>
      </w:pPr>
      <w:r w:rsidRPr="00295575">
        <w:rPr>
          <w:rFonts w:ascii="Arial" w:hAnsi="Arial" w:cs="Arial"/>
          <w:b/>
          <w:bCs/>
          <w:sz w:val="20"/>
          <w:szCs w:val="20"/>
        </w:rPr>
        <w:t>Como le explicarías a alguien que no sabe nada del tema sobre tres conceptos que tu hayas aprendido.</w:t>
      </w:r>
    </w:p>
    <w:p w14:paraId="7D6A0FA0" w14:textId="25902E3D" w:rsidR="007F1E94" w:rsidRPr="00295575" w:rsidRDefault="007F1E94" w:rsidP="00295575">
      <w:pPr>
        <w:numPr>
          <w:ilvl w:val="0"/>
          <w:numId w:val="14"/>
        </w:numPr>
        <w:spacing w:line="240" w:lineRule="auto"/>
        <w:jc w:val="both"/>
        <w:rPr>
          <w:rFonts w:ascii="Arial" w:hAnsi="Arial" w:cs="Arial"/>
          <w:sz w:val="20"/>
          <w:szCs w:val="20"/>
        </w:rPr>
      </w:pPr>
      <w:r w:rsidRPr="00295575">
        <w:rPr>
          <w:rFonts w:ascii="Arial" w:hAnsi="Arial" w:cs="Arial"/>
          <w:b/>
          <w:bCs/>
          <w:sz w:val="20"/>
          <w:szCs w:val="20"/>
        </w:rPr>
        <w:t>Realiza un dibujo que represente lo que aprendiste de este tema.</w:t>
      </w:r>
    </w:p>
    <w:p w14:paraId="701D5D97" w14:textId="77777777" w:rsidR="00A74138" w:rsidRPr="00A74138" w:rsidRDefault="00A74138" w:rsidP="00295575">
      <w:pPr>
        <w:spacing w:line="240" w:lineRule="auto"/>
        <w:jc w:val="both"/>
        <w:rPr>
          <w:rFonts w:ascii="Arial" w:hAnsi="Arial" w:cs="Arial"/>
          <w:sz w:val="20"/>
          <w:szCs w:val="20"/>
        </w:rPr>
      </w:pPr>
    </w:p>
    <w:p w14:paraId="1A237FA4" w14:textId="0F470E6A" w:rsidR="00A74138" w:rsidRPr="00DB7AEE" w:rsidRDefault="00EF0A65" w:rsidP="00295575">
      <w:pPr>
        <w:spacing w:line="240" w:lineRule="auto"/>
        <w:jc w:val="both"/>
        <w:rPr>
          <w:rFonts w:ascii="Arial" w:hAnsi="Arial" w:cs="Arial"/>
          <w:sz w:val="20"/>
          <w:szCs w:val="20"/>
        </w:rPr>
      </w:pPr>
      <w:r w:rsidRPr="00295575">
        <w:rPr>
          <w:rFonts w:ascii="Arial" w:hAnsi="Arial" w:cs="Arial"/>
          <w:noProof/>
          <w:sz w:val="20"/>
          <w:szCs w:val="20"/>
        </w:rPr>
        <w:drawing>
          <wp:inline distT="0" distB="0" distL="0" distR="0" wp14:anchorId="3400A564" wp14:editId="4867D101">
            <wp:extent cx="4504727" cy="3419475"/>
            <wp:effectExtent l="0" t="0" r="0" b="0"/>
            <wp:docPr id="72474605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746050" name="Imagen 724746050"/>
                    <pic:cNvPicPr/>
                  </pic:nvPicPr>
                  <pic:blipFill>
                    <a:blip r:embed="rId8">
                      <a:extLst>
                        <a:ext uri="{28A0092B-C50C-407E-A947-70E740481C1C}">
                          <a14:useLocalDpi xmlns:a14="http://schemas.microsoft.com/office/drawing/2010/main" val="0"/>
                        </a:ext>
                        <a:ext uri="{837473B0-CC2E-450A-ABE3-18F120FF3D39}">
                          <a1611:picAttrSrcUrl xmlns:a1611="http://schemas.microsoft.com/office/drawing/2016/11/main" r:id="rId9"/>
                        </a:ext>
                      </a:extLst>
                    </a:blip>
                    <a:stretch>
                      <a:fillRect/>
                    </a:stretch>
                  </pic:blipFill>
                  <pic:spPr>
                    <a:xfrm>
                      <a:off x="0" y="0"/>
                      <a:ext cx="4514713" cy="3427055"/>
                    </a:xfrm>
                    <a:prstGeom prst="rect">
                      <a:avLst/>
                    </a:prstGeom>
                  </pic:spPr>
                </pic:pic>
              </a:graphicData>
            </a:graphic>
          </wp:inline>
        </w:drawing>
      </w:r>
    </w:p>
    <w:sectPr w:rsidR="00A74138" w:rsidRPr="00DB7AE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6466"/>
    <w:multiLevelType w:val="multilevel"/>
    <w:tmpl w:val="C8446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F93628"/>
    <w:multiLevelType w:val="multilevel"/>
    <w:tmpl w:val="95185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340E59"/>
    <w:multiLevelType w:val="multilevel"/>
    <w:tmpl w:val="375E8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AD594F"/>
    <w:multiLevelType w:val="multilevel"/>
    <w:tmpl w:val="D7CC5F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9B5090"/>
    <w:multiLevelType w:val="multilevel"/>
    <w:tmpl w:val="B554DF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CC2FDA"/>
    <w:multiLevelType w:val="multilevel"/>
    <w:tmpl w:val="F2A68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9942C8"/>
    <w:multiLevelType w:val="multilevel"/>
    <w:tmpl w:val="845C5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1A14C81"/>
    <w:multiLevelType w:val="multilevel"/>
    <w:tmpl w:val="64405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21B1421"/>
    <w:multiLevelType w:val="multilevel"/>
    <w:tmpl w:val="DAB4E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6716AFE"/>
    <w:multiLevelType w:val="multilevel"/>
    <w:tmpl w:val="A18032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EF07454"/>
    <w:multiLevelType w:val="multilevel"/>
    <w:tmpl w:val="0C7E9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4427224"/>
    <w:multiLevelType w:val="multilevel"/>
    <w:tmpl w:val="27BA4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C045E9"/>
    <w:multiLevelType w:val="multilevel"/>
    <w:tmpl w:val="937C8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BD91542"/>
    <w:multiLevelType w:val="multilevel"/>
    <w:tmpl w:val="86B69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43456864">
    <w:abstractNumId w:val="11"/>
  </w:num>
  <w:num w:numId="2" w16cid:durableId="1187911190">
    <w:abstractNumId w:val="10"/>
  </w:num>
  <w:num w:numId="3" w16cid:durableId="852065680">
    <w:abstractNumId w:val="1"/>
  </w:num>
  <w:num w:numId="4" w16cid:durableId="548146883">
    <w:abstractNumId w:val="8"/>
  </w:num>
  <w:num w:numId="5" w16cid:durableId="319820129">
    <w:abstractNumId w:val="13"/>
  </w:num>
  <w:num w:numId="6" w16cid:durableId="1318656303">
    <w:abstractNumId w:val="5"/>
  </w:num>
  <w:num w:numId="7" w16cid:durableId="100540874">
    <w:abstractNumId w:val="6"/>
  </w:num>
  <w:num w:numId="8" w16cid:durableId="1231232707">
    <w:abstractNumId w:val="0"/>
  </w:num>
  <w:num w:numId="9" w16cid:durableId="2079786691">
    <w:abstractNumId w:val="7"/>
  </w:num>
  <w:num w:numId="10" w16cid:durableId="727847743">
    <w:abstractNumId w:val="2"/>
  </w:num>
  <w:num w:numId="11" w16cid:durableId="1315446879">
    <w:abstractNumId w:val="12"/>
  </w:num>
  <w:num w:numId="12" w16cid:durableId="1903249104">
    <w:abstractNumId w:val="3"/>
  </w:num>
  <w:num w:numId="13" w16cid:durableId="1303004158">
    <w:abstractNumId w:val="9"/>
  </w:num>
  <w:num w:numId="14" w16cid:durableId="12283436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AEE"/>
    <w:rsid w:val="00295575"/>
    <w:rsid w:val="007F1E94"/>
    <w:rsid w:val="00A50C19"/>
    <w:rsid w:val="00A74138"/>
    <w:rsid w:val="00DB7AEE"/>
    <w:rsid w:val="00EF0A6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10C27"/>
  <w15:chartTrackingRefBased/>
  <w15:docId w15:val="{38AAE37D-C869-48A2-93AF-34CB47173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B7AE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DB7AE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DB7AEE"/>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DB7AEE"/>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DB7AEE"/>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DB7AE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B7AE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B7AE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B7AE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B7AEE"/>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DB7AEE"/>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DB7AEE"/>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DB7AEE"/>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DB7AEE"/>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DB7AE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B7AE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B7AE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B7AEE"/>
    <w:rPr>
      <w:rFonts w:eastAsiaTheme="majorEastAsia" w:cstheme="majorBidi"/>
      <w:color w:val="272727" w:themeColor="text1" w:themeTint="D8"/>
    </w:rPr>
  </w:style>
  <w:style w:type="paragraph" w:styleId="Ttulo">
    <w:name w:val="Title"/>
    <w:basedOn w:val="Normal"/>
    <w:next w:val="Normal"/>
    <w:link w:val="TtuloCar"/>
    <w:uiPriority w:val="10"/>
    <w:qFormat/>
    <w:rsid w:val="00DB7A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B7AE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B7AE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B7AE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B7AEE"/>
    <w:pPr>
      <w:spacing w:before="160"/>
      <w:jc w:val="center"/>
    </w:pPr>
    <w:rPr>
      <w:i/>
      <w:iCs/>
      <w:color w:val="404040" w:themeColor="text1" w:themeTint="BF"/>
    </w:rPr>
  </w:style>
  <w:style w:type="character" w:customStyle="1" w:styleId="CitaCar">
    <w:name w:val="Cita Car"/>
    <w:basedOn w:val="Fuentedeprrafopredeter"/>
    <w:link w:val="Cita"/>
    <w:uiPriority w:val="29"/>
    <w:rsid w:val="00DB7AEE"/>
    <w:rPr>
      <w:i/>
      <w:iCs/>
      <w:color w:val="404040" w:themeColor="text1" w:themeTint="BF"/>
    </w:rPr>
  </w:style>
  <w:style w:type="paragraph" w:styleId="Prrafodelista">
    <w:name w:val="List Paragraph"/>
    <w:basedOn w:val="Normal"/>
    <w:uiPriority w:val="34"/>
    <w:qFormat/>
    <w:rsid w:val="00DB7AEE"/>
    <w:pPr>
      <w:ind w:left="720"/>
      <w:contextualSpacing/>
    </w:pPr>
  </w:style>
  <w:style w:type="character" w:styleId="nfasisintenso">
    <w:name w:val="Intense Emphasis"/>
    <w:basedOn w:val="Fuentedeprrafopredeter"/>
    <w:uiPriority w:val="21"/>
    <w:qFormat/>
    <w:rsid w:val="00DB7AEE"/>
    <w:rPr>
      <w:i/>
      <w:iCs/>
      <w:color w:val="2F5496" w:themeColor="accent1" w:themeShade="BF"/>
    </w:rPr>
  </w:style>
  <w:style w:type="paragraph" w:styleId="Citadestacada">
    <w:name w:val="Intense Quote"/>
    <w:basedOn w:val="Normal"/>
    <w:next w:val="Normal"/>
    <w:link w:val="CitadestacadaCar"/>
    <w:uiPriority w:val="30"/>
    <w:qFormat/>
    <w:rsid w:val="00DB7AE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DB7AEE"/>
    <w:rPr>
      <w:i/>
      <w:iCs/>
      <w:color w:val="2F5496" w:themeColor="accent1" w:themeShade="BF"/>
    </w:rPr>
  </w:style>
  <w:style w:type="character" w:styleId="Referenciaintensa">
    <w:name w:val="Intense Reference"/>
    <w:basedOn w:val="Fuentedeprrafopredeter"/>
    <w:uiPriority w:val="32"/>
    <w:qFormat/>
    <w:rsid w:val="00DB7AEE"/>
    <w:rPr>
      <w:b/>
      <w:bCs/>
      <w:smallCaps/>
      <w:color w:val="2F5496" w:themeColor="accent1" w:themeShade="BF"/>
      <w:spacing w:val="5"/>
    </w:rPr>
  </w:style>
  <w:style w:type="character" w:styleId="Hipervnculo">
    <w:name w:val="Hyperlink"/>
    <w:basedOn w:val="Fuentedeprrafopredeter"/>
    <w:uiPriority w:val="99"/>
    <w:unhideWhenUsed/>
    <w:rsid w:val="00DB7AEE"/>
    <w:rPr>
      <w:color w:val="0563C1" w:themeColor="hyperlink"/>
      <w:u w:val="single"/>
    </w:rPr>
  </w:style>
  <w:style w:type="character" w:styleId="Mencinsinresolver">
    <w:name w:val="Unresolved Mention"/>
    <w:basedOn w:val="Fuentedeprrafopredeter"/>
    <w:uiPriority w:val="99"/>
    <w:semiHidden/>
    <w:unhideWhenUsed/>
    <w:rsid w:val="00DB7A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file:///C:/Users/DOCENTE/Downloads/22019-Texto%20del%20art%C3%ADculo-98113-1-10-20260126.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vgsilh.com/es/image/155655.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1082</Words>
  <Characters>5954</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DOCENTE</dc:creator>
  <cp:keywords/>
  <dc:description/>
  <cp:lastModifiedBy>DOCENTE</cp:lastModifiedBy>
  <cp:revision>1</cp:revision>
  <dcterms:created xsi:type="dcterms:W3CDTF">2026-04-07T19:59:00Z</dcterms:created>
  <dcterms:modified xsi:type="dcterms:W3CDTF">2026-04-07T21:17:00Z</dcterms:modified>
</cp:coreProperties>
</file>